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66B8FA03"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r w:rsidR="00CB09AF">
        <w:rPr>
          <w:rFonts w:asciiTheme="minorHAnsi" w:eastAsia="Calibri" w:hAnsiTheme="minorHAnsi" w:cs="Arial"/>
          <w:b/>
          <w:sz w:val="28"/>
          <w:szCs w:val="28"/>
          <w:lang w:eastAsia="en-US"/>
        </w:rPr>
        <w:t>pro část 1</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15621B02" w:rsidR="0073070F" w:rsidRPr="00A14866" w:rsidRDefault="000970C0" w:rsidP="00F42F2C">
      <w:pPr>
        <w:shd w:val="clear" w:color="auto" w:fill="FFD966" w:themeFill="accent4" w:themeFillTint="99"/>
        <w:jc w:val="both"/>
        <w:rPr>
          <w:rFonts w:asciiTheme="minorHAnsi" w:hAnsiTheme="minorHAnsi" w:cs="Arial"/>
          <w:b/>
          <w:sz w:val="28"/>
          <w:szCs w:val="28"/>
        </w:rPr>
      </w:pPr>
      <w:r w:rsidRPr="00A14866">
        <w:rPr>
          <w:rFonts w:asciiTheme="minorHAnsi" w:hAnsiTheme="minorHAnsi" w:cs="Arial"/>
          <w:b/>
          <w:sz w:val="28"/>
          <w:szCs w:val="28"/>
        </w:rPr>
        <w:t>O</w:t>
      </w:r>
      <w:r w:rsidR="0009503C" w:rsidRPr="00A14866">
        <w:rPr>
          <w:rFonts w:asciiTheme="minorHAnsi" w:hAnsiTheme="minorHAnsi" w:cs="Arial"/>
          <w:b/>
          <w:sz w:val="28"/>
          <w:szCs w:val="28"/>
        </w:rPr>
        <w:t xml:space="preserve">perační stoly </w:t>
      </w:r>
      <w:r w:rsidR="00DC5760" w:rsidRPr="00A14866">
        <w:rPr>
          <w:rFonts w:asciiTheme="minorHAnsi" w:hAnsiTheme="minorHAnsi" w:cs="Arial"/>
          <w:b/>
          <w:sz w:val="28"/>
          <w:szCs w:val="28"/>
        </w:rPr>
        <w:t>– část 1</w:t>
      </w:r>
    </w:p>
    <w:p w14:paraId="50A8ABC3" w14:textId="615C2F09" w:rsidR="00393D63" w:rsidRDefault="00393D63" w:rsidP="002B39F1">
      <w:pPr>
        <w:jc w:val="both"/>
        <w:rPr>
          <w:rFonts w:asciiTheme="minorHAnsi" w:hAnsiTheme="minorHAnsi" w:cs="Arial"/>
          <w:b/>
          <w:bCs/>
          <w:sz w:val="24"/>
        </w:rPr>
      </w:pPr>
    </w:p>
    <w:p w14:paraId="4E616BB7" w14:textId="77777777" w:rsidR="00CB09AF" w:rsidRDefault="00CB09AF" w:rsidP="00CB09AF">
      <w:pPr>
        <w:pStyle w:val="Nadpis4"/>
        <w:shd w:val="clear" w:color="auto" w:fill="C5E0B3" w:themeFill="accent6" w:themeFillTint="66"/>
        <w:rPr>
          <w:rFonts w:asciiTheme="minorHAnsi" w:hAnsiTheme="minorHAnsi" w:cs="Arial"/>
          <w:bCs/>
        </w:rPr>
      </w:pPr>
      <w:bookmarkStart w:id="0" w:name="_Hlk45535513"/>
      <w:r>
        <w:rPr>
          <w:rFonts w:asciiTheme="minorHAnsi" w:hAnsiTheme="minorHAnsi" w:cs="Arial"/>
          <w:bCs/>
        </w:rPr>
        <w:t>Název části 1 veřejné zakázky</w:t>
      </w:r>
    </w:p>
    <w:p w14:paraId="0A6E252C" w14:textId="07B1F3DA" w:rsidR="00CB09AF" w:rsidRDefault="00CB09AF" w:rsidP="00CB09AF">
      <w:pPr>
        <w:pStyle w:val="Nadpis3"/>
        <w:shd w:val="clear" w:color="auto" w:fill="C5E0B3" w:themeFill="accent6" w:themeFillTint="66"/>
        <w:rPr>
          <w:rFonts w:asciiTheme="minorHAnsi" w:hAnsiTheme="minorHAnsi" w:cs="Arial"/>
          <w:bCs/>
        </w:rPr>
      </w:pPr>
      <w:r w:rsidRPr="002378BD">
        <w:t>Operační stůl pro COS Litomyšlské nemocnice</w:t>
      </w:r>
    </w:p>
    <w:bookmarkEnd w:id="0"/>
    <w:p w14:paraId="28856654" w14:textId="20B37A3C" w:rsidR="00CB09AF" w:rsidRDefault="00CB09AF" w:rsidP="002B39F1">
      <w:pPr>
        <w:jc w:val="both"/>
        <w:rPr>
          <w:rFonts w:asciiTheme="minorHAnsi" w:hAnsiTheme="minorHAnsi" w:cs="Arial"/>
          <w:b/>
          <w:bCs/>
          <w:sz w:val="24"/>
        </w:rPr>
      </w:pPr>
    </w:p>
    <w:p w14:paraId="206521D8" w14:textId="77777777" w:rsidR="00CB09AF" w:rsidRPr="00DC2021" w:rsidRDefault="00CB09AF"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06695C36" w:rsidR="002B39F1" w:rsidRPr="00DC2021" w:rsidRDefault="00CB09AF" w:rsidP="00F42F2C">
      <w:pPr>
        <w:jc w:val="both"/>
        <w:rPr>
          <w:rFonts w:asciiTheme="minorHAnsi" w:hAnsiTheme="minorHAns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2EB5B1B3" w:rsidR="008710C5" w:rsidRPr="0009503C" w:rsidRDefault="00CB09AF"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384BA87B" w:rsidR="00615491" w:rsidRPr="00DC2021" w:rsidRDefault="0031657C"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Operační stůl pro COS Litomyšlské </w:t>
            </w:r>
            <w:r w:rsidRPr="00DC2021">
              <w:rPr>
                <w:rFonts w:asciiTheme="minorHAnsi" w:hAnsiTheme="minorHAnsi" w:cs="Arial"/>
                <w:b/>
                <w:sz w:val="28"/>
                <w:szCs w:val="28"/>
              </w:rPr>
              <w:t>nemocnice –– 1 ks</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09503C" w:rsidRPr="00DC2021" w14:paraId="1A49DB9B" w14:textId="77777777" w:rsidTr="00A36BA3">
        <w:tc>
          <w:tcPr>
            <w:tcW w:w="4536" w:type="dxa"/>
            <w:shd w:val="clear" w:color="auto" w:fill="auto"/>
          </w:tcPr>
          <w:p w14:paraId="41BECFF9" w14:textId="77777777" w:rsidR="0009503C" w:rsidRDefault="0009503C" w:rsidP="0009503C">
            <w:pPr>
              <w:jc w:val="both"/>
              <w:rPr>
                <w:rFonts w:ascii="Calibri" w:hAnsi="Calibri"/>
                <w:szCs w:val="22"/>
              </w:rPr>
            </w:pPr>
            <w:r>
              <w:t>Mobilní systémový elektromechanický operační stůl s výměnnou pracovní deskou.</w:t>
            </w:r>
          </w:p>
        </w:tc>
        <w:tc>
          <w:tcPr>
            <w:tcW w:w="1276" w:type="dxa"/>
            <w:vAlign w:val="center"/>
          </w:tcPr>
          <w:p w14:paraId="503D566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2AA5D676" w14:textId="77777777" w:rsidTr="00A36BA3">
        <w:tc>
          <w:tcPr>
            <w:tcW w:w="4536" w:type="dxa"/>
            <w:shd w:val="clear" w:color="auto" w:fill="auto"/>
          </w:tcPr>
          <w:p w14:paraId="1E7A9B6F" w14:textId="77777777" w:rsidR="0009503C" w:rsidRDefault="0009503C" w:rsidP="0009503C">
            <w:pPr>
              <w:jc w:val="both"/>
            </w:pPr>
            <w:r>
              <w:t xml:space="preserve">Operační desky kompatibilní se stávajícím systémem výrobce </w:t>
            </w:r>
            <w:proofErr w:type="spellStart"/>
            <w:r>
              <w:t>Ramed</w:t>
            </w:r>
            <w:proofErr w:type="spellEnd"/>
            <w:r>
              <w:t xml:space="preserve"> na pracovišti zadavatele.</w:t>
            </w:r>
          </w:p>
        </w:tc>
        <w:tc>
          <w:tcPr>
            <w:tcW w:w="1276" w:type="dxa"/>
            <w:vAlign w:val="center"/>
          </w:tcPr>
          <w:p w14:paraId="60A9A7CC"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2809B672" w14:textId="77777777" w:rsidTr="00A36BA3">
        <w:tc>
          <w:tcPr>
            <w:tcW w:w="4536" w:type="dxa"/>
            <w:shd w:val="clear" w:color="auto" w:fill="auto"/>
          </w:tcPr>
          <w:p w14:paraId="372123B7" w14:textId="77777777" w:rsidR="0009503C" w:rsidRDefault="0009503C" w:rsidP="0009503C">
            <w:pPr>
              <w:jc w:val="both"/>
            </w:pPr>
            <w:r w:rsidRPr="0031657C">
              <w:t>Sytém obsahuje 1x mobilní základnu a 2x pracovní desku.</w:t>
            </w:r>
          </w:p>
        </w:tc>
        <w:tc>
          <w:tcPr>
            <w:tcW w:w="1276" w:type="dxa"/>
            <w:vAlign w:val="center"/>
          </w:tcPr>
          <w:p w14:paraId="0D63FBD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E64622B" w14:textId="77777777" w:rsidTr="00A36BA3">
        <w:tc>
          <w:tcPr>
            <w:tcW w:w="4536" w:type="dxa"/>
            <w:shd w:val="clear" w:color="auto" w:fill="auto"/>
          </w:tcPr>
          <w:p w14:paraId="17A8FA26" w14:textId="77777777" w:rsidR="0009503C" w:rsidRDefault="0009503C" w:rsidP="0009503C">
            <w:pPr>
              <w:jc w:val="both"/>
            </w:pPr>
            <w:r>
              <w:t xml:space="preserve">2x vozík výškově stavitelný </w:t>
            </w:r>
          </w:p>
        </w:tc>
        <w:tc>
          <w:tcPr>
            <w:tcW w:w="1276" w:type="dxa"/>
            <w:vAlign w:val="center"/>
          </w:tcPr>
          <w:p w14:paraId="4891494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3AC81359" w14:textId="77777777" w:rsidTr="00A36BA3">
        <w:tc>
          <w:tcPr>
            <w:tcW w:w="4536" w:type="dxa"/>
          </w:tcPr>
          <w:p w14:paraId="3C16C0AC" w14:textId="77777777" w:rsidR="0009503C" w:rsidRDefault="0009503C" w:rsidP="0009503C">
            <w:pPr>
              <w:jc w:val="both"/>
            </w:pPr>
            <w:r>
              <w:t>Elektromechanické polohování pracovní desky.</w:t>
            </w:r>
          </w:p>
        </w:tc>
        <w:tc>
          <w:tcPr>
            <w:tcW w:w="1276" w:type="dxa"/>
            <w:vAlign w:val="center"/>
          </w:tcPr>
          <w:p w14:paraId="4FEA510A"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5DC110C" w14:textId="77777777" w:rsidTr="00A36BA3">
        <w:tc>
          <w:tcPr>
            <w:tcW w:w="4536" w:type="dxa"/>
          </w:tcPr>
          <w:p w14:paraId="289B0BEF" w14:textId="77777777" w:rsidR="0009503C" w:rsidRDefault="0009503C" w:rsidP="0009503C">
            <w:pPr>
              <w:jc w:val="both"/>
            </w:pPr>
            <w:r>
              <w:t>Všechny elektrické pohyby ovládány prostřednictvím jednoho bezdrátového dálkového ovládače a záložního kabelového ovládání všech pohybů operačního stolu.</w:t>
            </w:r>
          </w:p>
        </w:tc>
        <w:tc>
          <w:tcPr>
            <w:tcW w:w="1276" w:type="dxa"/>
            <w:vAlign w:val="center"/>
          </w:tcPr>
          <w:p w14:paraId="5F25980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31A0558D" w14:textId="77777777" w:rsidTr="00A36BA3">
        <w:tc>
          <w:tcPr>
            <w:tcW w:w="4536" w:type="dxa"/>
          </w:tcPr>
          <w:p w14:paraId="6686BC45" w14:textId="77777777" w:rsidR="0009503C" w:rsidRDefault="0009503C" w:rsidP="0009503C">
            <w:pPr>
              <w:jc w:val="both"/>
            </w:pPr>
            <w:r>
              <w:t>Indukční dobíjení bezdrátového dálkového ovládače.</w:t>
            </w:r>
          </w:p>
        </w:tc>
        <w:tc>
          <w:tcPr>
            <w:tcW w:w="1276" w:type="dxa"/>
            <w:vAlign w:val="center"/>
          </w:tcPr>
          <w:p w14:paraId="59F184C6"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69EF8B1E" w14:textId="77777777" w:rsidTr="00A36BA3">
        <w:tc>
          <w:tcPr>
            <w:tcW w:w="4536" w:type="dxa"/>
          </w:tcPr>
          <w:p w14:paraId="6EFED16B" w14:textId="77777777" w:rsidR="0009503C" w:rsidRDefault="0009503C" w:rsidP="0009503C">
            <w:pPr>
              <w:jc w:val="both"/>
            </w:pPr>
            <w:r>
              <w:lastRenderedPageBreak/>
              <w:t>Dálkové ovládače vybaveny displejem se zobrazováním hodnoty elektricky nastavitelných veličin, signalizací stavu akumulátorů operačního stolu a u bezdrátového ovládače i stavu akumulátoru tohoto ovládače.</w:t>
            </w:r>
          </w:p>
        </w:tc>
        <w:tc>
          <w:tcPr>
            <w:tcW w:w="1276" w:type="dxa"/>
            <w:vAlign w:val="center"/>
          </w:tcPr>
          <w:p w14:paraId="40B4F5D9"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16A7E00C" w14:textId="77777777" w:rsidTr="00A36BA3">
        <w:trPr>
          <w:trHeight w:val="677"/>
        </w:trPr>
        <w:tc>
          <w:tcPr>
            <w:tcW w:w="4536" w:type="dxa"/>
          </w:tcPr>
          <w:p w14:paraId="25B8F184" w14:textId="77777777" w:rsidR="0009503C" w:rsidRDefault="0009503C" w:rsidP="0009503C">
            <w:pPr>
              <w:jc w:val="both"/>
            </w:pPr>
            <w:r>
              <w:t>Možnost uživatelem individuálně zaprogramovat pomocí dálkových ovládačů min.4 polohy operačního stolu dosažitelné poté jednotlačítkovou volbou na ovládači.</w:t>
            </w:r>
          </w:p>
        </w:tc>
        <w:tc>
          <w:tcPr>
            <w:tcW w:w="1276" w:type="dxa"/>
            <w:vAlign w:val="center"/>
          </w:tcPr>
          <w:p w14:paraId="431612D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D3D9087" w14:textId="77777777" w:rsidTr="00A36BA3">
        <w:tc>
          <w:tcPr>
            <w:tcW w:w="4536" w:type="dxa"/>
          </w:tcPr>
          <w:p w14:paraId="414AE1EF" w14:textId="77777777" w:rsidR="0009503C" w:rsidRDefault="0009503C" w:rsidP="0009503C">
            <w:pPr>
              <w:jc w:val="both"/>
            </w:pPr>
            <w:r>
              <w:t>Dostupná přednastavená Nulová poloha elektricky ovládaných pohybů na dálkových ovládačích.</w:t>
            </w:r>
          </w:p>
        </w:tc>
        <w:tc>
          <w:tcPr>
            <w:tcW w:w="1276" w:type="dxa"/>
            <w:vAlign w:val="center"/>
          </w:tcPr>
          <w:p w14:paraId="70CA62CA"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3D7F552D" w14:textId="77777777" w:rsidTr="00A36BA3">
        <w:tc>
          <w:tcPr>
            <w:tcW w:w="4536" w:type="dxa"/>
          </w:tcPr>
          <w:p w14:paraId="3DDE949D" w14:textId="77777777" w:rsidR="0009503C" w:rsidRDefault="0009503C" w:rsidP="0009503C">
            <w:pPr>
              <w:jc w:val="both"/>
            </w:pPr>
            <w:r>
              <w:t>Vypínání operačního stolu na základně i na dálkových ovládačích.</w:t>
            </w:r>
          </w:p>
        </w:tc>
        <w:tc>
          <w:tcPr>
            <w:tcW w:w="1276" w:type="dxa"/>
            <w:vAlign w:val="center"/>
          </w:tcPr>
          <w:p w14:paraId="1EF8116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18AC"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75179F5" w14:textId="77777777" w:rsidTr="00A36BA3">
        <w:tc>
          <w:tcPr>
            <w:tcW w:w="4536" w:type="dxa"/>
          </w:tcPr>
          <w:p w14:paraId="58F37F41" w14:textId="77777777" w:rsidR="0009503C" w:rsidRDefault="0009503C" w:rsidP="0009503C">
            <w:pPr>
              <w:jc w:val="both"/>
            </w:pPr>
            <w:r>
              <w:t>Operační stůl vybaven režimem spánku pro úsporu energie akumulátorů s nastavitelným intervalem automatického vypnutí při nečinnosti.</w:t>
            </w:r>
          </w:p>
        </w:tc>
        <w:tc>
          <w:tcPr>
            <w:tcW w:w="1276" w:type="dxa"/>
            <w:vAlign w:val="center"/>
          </w:tcPr>
          <w:p w14:paraId="1065CDA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5044A544" w14:textId="77777777" w:rsidTr="00A36BA3">
        <w:tc>
          <w:tcPr>
            <w:tcW w:w="4536" w:type="dxa"/>
          </w:tcPr>
          <w:p w14:paraId="0BC0B3C7" w14:textId="77777777" w:rsidR="0009503C" w:rsidRDefault="0009503C" w:rsidP="0009503C">
            <w:pPr>
              <w:jc w:val="both"/>
            </w:pPr>
            <w:r>
              <w:t>Operační stůl vybaven akumulátory s kapacitou pro min. 7 dní běžného provozu a integrovanou nabíječkou akumulátorů.</w:t>
            </w:r>
          </w:p>
        </w:tc>
        <w:tc>
          <w:tcPr>
            <w:tcW w:w="1276" w:type="dxa"/>
            <w:vAlign w:val="center"/>
          </w:tcPr>
          <w:p w14:paraId="7ABD91DC"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7D67099" w14:textId="77777777" w:rsidTr="00A36BA3">
        <w:tc>
          <w:tcPr>
            <w:tcW w:w="4536" w:type="dxa"/>
          </w:tcPr>
          <w:p w14:paraId="7484F0F9" w14:textId="77777777" w:rsidR="0009503C" w:rsidRDefault="0009503C" w:rsidP="0009503C">
            <w:pPr>
              <w:jc w:val="both"/>
            </w:pPr>
            <w:r>
              <w:t xml:space="preserve">Mobilita stolu zajištěna kolečky integrovanými v základně stolu, chráněnými krytem před znečištěním. Minimálně 2 kolečka manipulační. Aretace stolu proti pohybu ve všech směrech zajištěna jedním pohybem. </w:t>
            </w:r>
          </w:p>
        </w:tc>
        <w:tc>
          <w:tcPr>
            <w:tcW w:w="1276" w:type="dxa"/>
            <w:vAlign w:val="center"/>
          </w:tcPr>
          <w:p w14:paraId="2B1D876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6BBCB98E" w14:textId="77777777" w:rsidTr="00A36BA3">
        <w:tc>
          <w:tcPr>
            <w:tcW w:w="4536" w:type="dxa"/>
          </w:tcPr>
          <w:p w14:paraId="48AA630A" w14:textId="77777777" w:rsidR="0009503C" w:rsidRDefault="0009503C" w:rsidP="0009503C">
            <w:pPr>
              <w:jc w:val="both"/>
            </w:pPr>
            <w:r>
              <w:t>Nerezový kryt základny operačního stolu.</w:t>
            </w:r>
          </w:p>
        </w:tc>
        <w:tc>
          <w:tcPr>
            <w:tcW w:w="1276" w:type="dxa"/>
            <w:vAlign w:val="center"/>
          </w:tcPr>
          <w:p w14:paraId="4BA65F1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9A8A69"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1A64FC39" w14:textId="77777777" w:rsidTr="00A36BA3">
        <w:trPr>
          <w:trHeight w:val="858"/>
        </w:trPr>
        <w:tc>
          <w:tcPr>
            <w:tcW w:w="4536" w:type="dxa"/>
          </w:tcPr>
          <w:p w14:paraId="42276D81" w14:textId="77777777" w:rsidR="0009503C" w:rsidRDefault="0009503C" w:rsidP="0009503C">
            <w:pPr>
              <w:jc w:val="both"/>
            </w:pPr>
            <w:r>
              <w:t>Elektricky ovládané pohyby:</w:t>
            </w:r>
          </w:p>
        </w:tc>
        <w:tc>
          <w:tcPr>
            <w:tcW w:w="1276" w:type="dxa"/>
            <w:vAlign w:val="center"/>
          </w:tcPr>
          <w:p w14:paraId="7DA0BD82"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6D88628E" w14:textId="77777777" w:rsidTr="00A36BA3">
        <w:tc>
          <w:tcPr>
            <w:tcW w:w="4536" w:type="dxa"/>
          </w:tcPr>
          <w:p w14:paraId="2F2CE648" w14:textId="77777777" w:rsidR="0009503C" w:rsidRDefault="0009503C" w:rsidP="0009503C">
            <w:pPr>
              <w:jc w:val="both"/>
            </w:pPr>
            <w:r>
              <w:t>zdvih pracovní deky v rozsahu min. 380 mm,</w:t>
            </w:r>
          </w:p>
        </w:tc>
        <w:tc>
          <w:tcPr>
            <w:tcW w:w="1276" w:type="dxa"/>
            <w:vAlign w:val="center"/>
          </w:tcPr>
          <w:p w14:paraId="688B2E3F"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A046634" w14:textId="77777777" w:rsidTr="00A36BA3">
        <w:tc>
          <w:tcPr>
            <w:tcW w:w="4536" w:type="dxa"/>
          </w:tcPr>
          <w:p w14:paraId="2439C372" w14:textId="77777777" w:rsidR="0009503C" w:rsidRDefault="0009503C" w:rsidP="0009503C">
            <w:pPr>
              <w:jc w:val="both"/>
            </w:pPr>
            <w:r>
              <w:t xml:space="preserve">vyklápění </w:t>
            </w:r>
            <w:proofErr w:type="spellStart"/>
            <w:r>
              <w:t>Trendelenburg-antitrendelenburg</w:t>
            </w:r>
            <w:proofErr w:type="spellEnd"/>
            <w:r>
              <w:t xml:space="preserve"> min. 25°,</w:t>
            </w:r>
          </w:p>
        </w:tc>
        <w:tc>
          <w:tcPr>
            <w:tcW w:w="1276" w:type="dxa"/>
            <w:vAlign w:val="center"/>
          </w:tcPr>
          <w:p w14:paraId="570BA89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164CB186" w14:textId="77777777" w:rsidTr="00A36BA3">
        <w:tc>
          <w:tcPr>
            <w:tcW w:w="4536" w:type="dxa"/>
          </w:tcPr>
          <w:p w14:paraId="15D1D2A7" w14:textId="77777777" w:rsidR="0009503C" w:rsidRDefault="0009503C" w:rsidP="0009503C">
            <w:pPr>
              <w:jc w:val="both"/>
            </w:pPr>
            <w:r>
              <w:t>laterální vyklápění min. 20°.</w:t>
            </w:r>
          </w:p>
        </w:tc>
        <w:tc>
          <w:tcPr>
            <w:tcW w:w="1276" w:type="dxa"/>
            <w:vAlign w:val="center"/>
          </w:tcPr>
          <w:p w14:paraId="2D8B0A9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DF60D25" w14:textId="77777777" w:rsidTr="00A36BA3">
        <w:tc>
          <w:tcPr>
            <w:tcW w:w="4536" w:type="dxa"/>
          </w:tcPr>
          <w:p w14:paraId="174329C3" w14:textId="77777777" w:rsidR="0009503C" w:rsidRDefault="0009503C" w:rsidP="0009503C">
            <w:pPr>
              <w:jc w:val="both"/>
              <w:rPr>
                <w:b/>
              </w:rPr>
            </w:pPr>
            <w:r>
              <w:rPr>
                <w:b/>
              </w:rPr>
              <w:t>Pracovní deska:</w:t>
            </w:r>
          </w:p>
        </w:tc>
        <w:tc>
          <w:tcPr>
            <w:tcW w:w="1276" w:type="dxa"/>
            <w:vAlign w:val="center"/>
          </w:tcPr>
          <w:p w14:paraId="06A5EDA4" w14:textId="2784827E" w:rsidR="0009503C" w:rsidRPr="00DC2021" w:rsidRDefault="0009503C" w:rsidP="0009503C">
            <w:pPr>
              <w:jc w:val="center"/>
              <w:rPr>
                <w:rFonts w:asciiTheme="minorHAnsi" w:hAnsiTheme="minorHAnsi" w:cs="Calibri"/>
                <w:color w:val="FF0000"/>
                <w:szCs w:val="20"/>
              </w:rPr>
            </w:pPr>
          </w:p>
        </w:tc>
        <w:tc>
          <w:tcPr>
            <w:tcW w:w="3821" w:type="dxa"/>
            <w:vAlign w:val="center"/>
          </w:tcPr>
          <w:p w14:paraId="269A7137" w14:textId="2A4155C7" w:rsidR="0009503C" w:rsidRPr="00DC2021" w:rsidRDefault="0009503C" w:rsidP="0009503C">
            <w:pPr>
              <w:jc w:val="center"/>
              <w:rPr>
                <w:rFonts w:asciiTheme="minorHAnsi" w:hAnsiTheme="minorHAnsi" w:cs="Calibri"/>
                <w:color w:val="FF0000"/>
                <w:szCs w:val="20"/>
              </w:rPr>
            </w:pPr>
          </w:p>
        </w:tc>
      </w:tr>
      <w:tr w:rsidR="0009503C" w:rsidRPr="00DC2021" w14:paraId="13CF038B" w14:textId="77777777" w:rsidTr="00A36BA3">
        <w:tc>
          <w:tcPr>
            <w:tcW w:w="4536" w:type="dxa"/>
          </w:tcPr>
          <w:p w14:paraId="336306D4" w14:textId="77777777" w:rsidR="0009503C" w:rsidRDefault="0009503C" w:rsidP="0009503C">
            <w:pPr>
              <w:jc w:val="both"/>
            </w:pPr>
            <w:r>
              <w:t>1x pěti segmentová pracovní deska (hlavový, zádový, pánevní a dělený nožní segment + odnímatelné ramenní části zádového segmentu pro snadný přístup operatéra k rameni pacienta)</w:t>
            </w:r>
          </w:p>
        </w:tc>
        <w:tc>
          <w:tcPr>
            <w:tcW w:w="1276" w:type="dxa"/>
            <w:vAlign w:val="center"/>
          </w:tcPr>
          <w:p w14:paraId="7909CA4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D3F7462" w14:textId="77777777" w:rsidTr="00A36BA3">
        <w:tc>
          <w:tcPr>
            <w:tcW w:w="4536" w:type="dxa"/>
            <w:shd w:val="clear" w:color="auto" w:fill="auto"/>
          </w:tcPr>
          <w:p w14:paraId="07C7ACFD" w14:textId="77777777" w:rsidR="0009503C" w:rsidRDefault="0009503C" w:rsidP="0009503C">
            <w:pPr>
              <w:jc w:val="both"/>
            </w:pPr>
            <w:r>
              <w:t>1x pěti segmentová pracovní deska (hlavový, zádový, pánevní a dělený nožní segment)</w:t>
            </w:r>
          </w:p>
        </w:tc>
        <w:tc>
          <w:tcPr>
            <w:tcW w:w="1276" w:type="dxa"/>
            <w:vAlign w:val="center"/>
          </w:tcPr>
          <w:p w14:paraId="12440FF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248CE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49525F74" w14:textId="77777777" w:rsidTr="00A36BA3">
        <w:tc>
          <w:tcPr>
            <w:tcW w:w="4536" w:type="dxa"/>
          </w:tcPr>
          <w:p w14:paraId="566098FC" w14:textId="77777777" w:rsidR="0009503C" w:rsidRDefault="0009503C" w:rsidP="0009503C">
            <w:pPr>
              <w:jc w:val="both"/>
              <w:rPr>
                <w:b/>
              </w:rPr>
            </w:pPr>
            <w:r>
              <w:t>Plně odnímatelné nožní segmenty a hlavový segment.</w:t>
            </w:r>
          </w:p>
        </w:tc>
        <w:tc>
          <w:tcPr>
            <w:tcW w:w="1276" w:type="dxa"/>
            <w:vAlign w:val="center"/>
          </w:tcPr>
          <w:p w14:paraId="52D9DD0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013B7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B2FBE8B" w14:textId="77777777" w:rsidTr="00A36BA3">
        <w:tc>
          <w:tcPr>
            <w:tcW w:w="4536" w:type="dxa"/>
          </w:tcPr>
          <w:p w14:paraId="7824B336" w14:textId="77777777" w:rsidR="0009503C" w:rsidRDefault="0009503C" w:rsidP="0009503C">
            <w:pPr>
              <w:jc w:val="both"/>
            </w:pPr>
            <w:r>
              <w:t>Elektricky ovládané pohyby pracovních desek:</w:t>
            </w:r>
          </w:p>
        </w:tc>
        <w:tc>
          <w:tcPr>
            <w:tcW w:w="1276" w:type="dxa"/>
            <w:vAlign w:val="center"/>
          </w:tcPr>
          <w:p w14:paraId="32FC2929"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C2C82F9" w14:textId="77777777" w:rsidTr="00A36BA3">
        <w:tc>
          <w:tcPr>
            <w:tcW w:w="4536" w:type="dxa"/>
          </w:tcPr>
          <w:p w14:paraId="41AD8B93" w14:textId="77777777" w:rsidR="0009503C" w:rsidRDefault="0009503C" w:rsidP="0009503C">
            <w:pPr>
              <w:jc w:val="both"/>
            </w:pPr>
            <w:r>
              <w:lastRenderedPageBreak/>
              <w:t>vyklápění zádového segmentu v minimálním rozsahu +60° až – 25°.</w:t>
            </w:r>
          </w:p>
        </w:tc>
        <w:tc>
          <w:tcPr>
            <w:tcW w:w="1276" w:type="dxa"/>
            <w:vAlign w:val="center"/>
          </w:tcPr>
          <w:p w14:paraId="39D05F4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E39DE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35CD762F" w14:textId="77777777" w:rsidTr="00A36BA3">
        <w:tc>
          <w:tcPr>
            <w:tcW w:w="4536" w:type="dxa"/>
          </w:tcPr>
          <w:p w14:paraId="52A97A2D" w14:textId="77777777" w:rsidR="0009503C" w:rsidRDefault="0009503C" w:rsidP="0009503C">
            <w:pPr>
              <w:jc w:val="both"/>
            </w:pPr>
            <w:r>
              <w:t>Manuálně ovládané pohyby pracovní desky:</w:t>
            </w:r>
          </w:p>
        </w:tc>
        <w:tc>
          <w:tcPr>
            <w:tcW w:w="1276" w:type="dxa"/>
            <w:vAlign w:val="center"/>
          </w:tcPr>
          <w:p w14:paraId="4AC0E39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E8107D"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52BED957" w14:textId="77777777" w:rsidTr="00A36BA3">
        <w:tc>
          <w:tcPr>
            <w:tcW w:w="4536" w:type="dxa"/>
          </w:tcPr>
          <w:p w14:paraId="263BBCB2" w14:textId="77777777" w:rsidR="0009503C" w:rsidRDefault="0009503C" w:rsidP="0009503C">
            <w:pPr>
              <w:jc w:val="both"/>
            </w:pPr>
            <w:r>
              <w:t xml:space="preserve">hlavový </w:t>
            </w:r>
            <w:proofErr w:type="gramStart"/>
            <w:r>
              <w:t>segment  -</w:t>
            </w:r>
            <w:proofErr w:type="gramEnd"/>
            <w:r>
              <w:t xml:space="preserve"> vyklápění min.  +/- 30°, laterální posuv, výsuv v podélné ose pracovní desky (podle výšky pacienta), výšková stavitelnost rovnoběžně se zádovým segmentem, </w:t>
            </w:r>
          </w:p>
        </w:tc>
        <w:tc>
          <w:tcPr>
            <w:tcW w:w="1276" w:type="dxa"/>
            <w:vAlign w:val="center"/>
          </w:tcPr>
          <w:p w14:paraId="5CC2C76A"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6EB2FDC" w14:textId="77777777" w:rsidTr="00A36BA3">
        <w:tc>
          <w:tcPr>
            <w:tcW w:w="4536" w:type="dxa"/>
          </w:tcPr>
          <w:p w14:paraId="7EA4C21B" w14:textId="77777777" w:rsidR="0009503C" w:rsidRDefault="0009503C" w:rsidP="0009503C">
            <w:pPr>
              <w:jc w:val="both"/>
            </w:pPr>
            <w:r>
              <w:t>nožní segmenty–polohování nožního segmentu kolem horizontální osy v minimálním rozsahu +30°až -90°, vyklápění do stran (kolem vertikální osy) v minimálním rozsahu 0° až 90°.</w:t>
            </w:r>
          </w:p>
        </w:tc>
        <w:tc>
          <w:tcPr>
            <w:tcW w:w="1276" w:type="dxa"/>
            <w:vAlign w:val="center"/>
          </w:tcPr>
          <w:p w14:paraId="11B78E6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28AAE2BF" w14:textId="77777777" w:rsidTr="00A36BA3">
        <w:tc>
          <w:tcPr>
            <w:tcW w:w="4536" w:type="dxa"/>
          </w:tcPr>
          <w:p w14:paraId="0797B243" w14:textId="77777777" w:rsidR="0009503C" w:rsidRDefault="0009503C" w:rsidP="0009503C">
            <w:pPr>
              <w:jc w:val="both"/>
            </w:pPr>
            <w:r>
              <w:t xml:space="preserve">Po stranách obou nožních, středového a zádového segmentu umístěny </w:t>
            </w:r>
            <w:proofErr w:type="spellStart"/>
            <w:r>
              <w:t>eurolišty</w:t>
            </w:r>
            <w:proofErr w:type="spellEnd"/>
            <w:r>
              <w:t xml:space="preserve"> pro uchycení příslušenství.</w:t>
            </w:r>
          </w:p>
        </w:tc>
        <w:tc>
          <w:tcPr>
            <w:tcW w:w="1276" w:type="dxa"/>
            <w:vAlign w:val="center"/>
          </w:tcPr>
          <w:p w14:paraId="619E75AD"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1556AD"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5638D83B" w14:textId="77777777" w:rsidTr="00A36BA3">
        <w:tc>
          <w:tcPr>
            <w:tcW w:w="4536" w:type="dxa"/>
          </w:tcPr>
          <w:p w14:paraId="3EC98032" w14:textId="77777777" w:rsidR="0009503C" w:rsidRDefault="0009503C" w:rsidP="0009503C">
            <w:pPr>
              <w:jc w:val="both"/>
            </w:pPr>
            <w:r>
              <w:t>Pracovní plocha pokryta odnímatelným antidekubitním čalouněním min. tloušťky 7 cm. Vícevrstvá (sendvičová) výplň čalounění zahrnující viskoelastickou pěnu v tloušťce min 2 cm. Spoje čalounění zajištěny proti vniknutí tekutin do výplně.</w:t>
            </w:r>
          </w:p>
        </w:tc>
        <w:tc>
          <w:tcPr>
            <w:tcW w:w="1276" w:type="dxa"/>
            <w:vAlign w:val="center"/>
          </w:tcPr>
          <w:p w14:paraId="5347CA9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225A94C6" w14:textId="77777777" w:rsidTr="00A36BA3">
        <w:tc>
          <w:tcPr>
            <w:tcW w:w="4536" w:type="dxa"/>
          </w:tcPr>
          <w:p w14:paraId="5DCC2753" w14:textId="77777777" w:rsidR="0009503C" w:rsidRDefault="0009503C" w:rsidP="0009503C">
            <w:pPr>
              <w:jc w:val="both"/>
            </w:pPr>
            <w:r>
              <w:t>Nosnost operačního stolu minimálně 240 kg ve všech polohách</w:t>
            </w:r>
          </w:p>
        </w:tc>
        <w:tc>
          <w:tcPr>
            <w:tcW w:w="1276" w:type="dxa"/>
            <w:vAlign w:val="center"/>
          </w:tcPr>
          <w:p w14:paraId="7C0D7776"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4C757184" w14:textId="77777777" w:rsidTr="00A36BA3">
        <w:tc>
          <w:tcPr>
            <w:tcW w:w="4536" w:type="dxa"/>
          </w:tcPr>
          <w:p w14:paraId="080A2B20" w14:textId="77777777" w:rsidR="0009503C" w:rsidRDefault="0009503C" w:rsidP="0009503C">
            <w:pPr>
              <w:jc w:val="both"/>
              <w:rPr>
                <w:b/>
              </w:rPr>
            </w:pPr>
            <w:r>
              <w:rPr>
                <w:b/>
              </w:rPr>
              <w:t>Příslušenství:</w:t>
            </w:r>
          </w:p>
        </w:tc>
        <w:tc>
          <w:tcPr>
            <w:tcW w:w="1276" w:type="dxa"/>
            <w:vAlign w:val="center"/>
          </w:tcPr>
          <w:p w14:paraId="09253123" w14:textId="0468BA19" w:rsidR="0009503C" w:rsidRPr="00DC2021" w:rsidRDefault="0009503C" w:rsidP="0009503C">
            <w:pPr>
              <w:jc w:val="center"/>
              <w:rPr>
                <w:rFonts w:asciiTheme="minorHAnsi" w:hAnsiTheme="minorHAnsi" w:cs="Calibri"/>
                <w:color w:val="FF0000"/>
                <w:szCs w:val="20"/>
              </w:rPr>
            </w:pPr>
          </w:p>
        </w:tc>
        <w:tc>
          <w:tcPr>
            <w:tcW w:w="3821" w:type="dxa"/>
            <w:vAlign w:val="center"/>
          </w:tcPr>
          <w:p w14:paraId="72DABC44" w14:textId="218EF564" w:rsidR="0009503C" w:rsidRPr="00DC2021" w:rsidRDefault="0009503C" w:rsidP="0009503C">
            <w:pPr>
              <w:jc w:val="center"/>
              <w:rPr>
                <w:rFonts w:asciiTheme="minorHAnsi" w:hAnsiTheme="minorHAnsi" w:cs="Calibri"/>
                <w:color w:val="FF0000"/>
                <w:szCs w:val="20"/>
              </w:rPr>
            </w:pPr>
          </w:p>
        </w:tc>
      </w:tr>
      <w:tr w:rsidR="0009503C" w:rsidRPr="00DC2021" w14:paraId="364D1038" w14:textId="77777777" w:rsidTr="00A36BA3">
        <w:tc>
          <w:tcPr>
            <w:tcW w:w="4536" w:type="dxa"/>
          </w:tcPr>
          <w:p w14:paraId="5090B5AF" w14:textId="77777777" w:rsidR="0009503C" w:rsidRDefault="0009503C" w:rsidP="0009503C">
            <w:pPr>
              <w:jc w:val="both"/>
            </w:pPr>
            <w:r>
              <w:t>Závěs ruky 2x</w:t>
            </w:r>
          </w:p>
        </w:tc>
        <w:tc>
          <w:tcPr>
            <w:tcW w:w="1276" w:type="dxa"/>
            <w:vAlign w:val="center"/>
          </w:tcPr>
          <w:p w14:paraId="5A96E78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DE14DFB" w14:textId="77777777" w:rsidTr="00A36BA3">
        <w:tc>
          <w:tcPr>
            <w:tcW w:w="4536" w:type="dxa"/>
          </w:tcPr>
          <w:p w14:paraId="45741560" w14:textId="77777777" w:rsidR="0009503C" w:rsidRDefault="0009503C" w:rsidP="0009503C">
            <w:pPr>
              <w:jc w:val="both"/>
            </w:pPr>
            <w:r>
              <w:t>Opěrka ruky infuzní 3x</w:t>
            </w:r>
          </w:p>
        </w:tc>
        <w:tc>
          <w:tcPr>
            <w:tcW w:w="1276" w:type="dxa"/>
            <w:vAlign w:val="center"/>
          </w:tcPr>
          <w:p w14:paraId="1164E65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F7D1AC6" w14:textId="77777777" w:rsidTr="00A36BA3">
        <w:tc>
          <w:tcPr>
            <w:tcW w:w="4536" w:type="dxa"/>
          </w:tcPr>
          <w:p w14:paraId="47798F7E" w14:textId="77777777" w:rsidR="0009503C" w:rsidRDefault="0009503C" w:rsidP="0009503C">
            <w:pPr>
              <w:jc w:val="both"/>
            </w:pPr>
            <w:r>
              <w:t>Opěrka ruky infuzní polohovatelná 1x</w:t>
            </w:r>
          </w:p>
        </w:tc>
        <w:tc>
          <w:tcPr>
            <w:tcW w:w="1276" w:type="dxa"/>
            <w:vAlign w:val="center"/>
          </w:tcPr>
          <w:p w14:paraId="1D82B19D"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4A44ABC1" w14:textId="77777777" w:rsidTr="00A36BA3">
        <w:tc>
          <w:tcPr>
            <w:tcW w:w="4536" w:type="dxa"/>
          </w:tcPr>
          <w:p w14:paraId="4D78D4C7" w14:textId="77777777" w:rsidR="0009503C" w:rsidRDefault="0009503C" w:rsidP="0009503C">
            <w:pPr>
              <w:jc w:val="both"/>
            </w:pPr>
            <w:r>
              <w:t>Poutací pás pro závěs ruky 2x</w:t>
            </w:r>
          </w:p>
        </w:tc>
        <w:tc>
          <w:tcPr>
            <w:tcW w:w="1276" w:type="dxa"/>
            <w:vAlign w:val="center"/>
          </w:tcPr>
          <w:p w14:paraId="2F87AEA2"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435C9D"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49AAD4E9" w14:textId="77777777" w:rsidTr="00A36BA3">
        <w:tc>
          <w:tcPr>
            <w:tcW w:w="4536" w:type="dxa"/>
          </w:tcPr>
          <w:p w14:paraId="477DF836" w14:textId="77777777" w:rsidR="0009503C" w:rsidRDefault="0009503C" w:rsidP="0009503C">
            <w:pPr>
              <w:jc w:val="both"/>
            </w:pPr>
            <w:r>
              <w:t>Kurt na fixaci těla 2x</w:t>
            </w:r>
          </w:p>
        </w:tc>
        <w:tc>
          <w:tcPr>
            <w:tcW w:w="1276" w:type="dxa"/>
            <w:vAlign w:val="center"/>
          </w:tcPr>
          <w:p w14:paraId="46A80C14"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E43AA6"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138A4A15" w14:textId="77777777" w:rsidTr="00A36BA3">
        <w:tc>
          <w:tcPr>
            <w:tcW w:w="4536" w:type="dxa"/>
          </w:tcPr>
          <w:p w14:paraId="39B6C9FC" w14:textId="77777777" w:rsidR="0009503C" w:rsidRDefault="0009503C" w:rsidP="0009503C">
            <w:pPr>
              <w:jc w:val="both"/>
            </w:pPr>
            <w:r>
              <w:t>Poutací pás dlouhý 2x</w:t>
            </w:r>
          </w:p>
        </w:tc>
        <w:tc>
          <w:tcPr>
            <w:tcW w:w="1276" w:type="dxa"/>
            <w:vAlign w:val="center"/>
          </w:tcPr>
          <w:p w14:paraId="346F8C22"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65FC80C"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506661D" w14:textId="77777777" w:rsidTr="00A36BA3">
        <w:tc>
          <w:tcPr>
            <w:tcW w:w="4536" w:type="dxa"/>
          </w:tcPr>
          <w:p w14:paraId="3B48B350" w14:textId="77777777" w:rsidR="0009503C" w:rsidRDefault="0009503C" w:rsidP="0009503C">
            <w:pPr>
              <w:jc w:val="both"/>
            </w:pPr>
            <w:r>
              <w:t>Poutací pás dlouhý na uchycení ruky 4x</w:t>
            </w:r>
          </w:p>
        </w:tc>
        <w:tc>
          <w:tcPr>
            <w:tcW w:w="1276" w:type="dxa"/>
            <w:vAlign w:val="center"/>
          </w:tcPr>
          <w:p w14:paraId="6F13D9E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C5F7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116772FD" w14:textId="77777777" w:rsidTr="00A36BA3">
        <w:tc>
          <w:tcPr>
            <w:tcW w:w="4536" w:type="dxa"/>
          </w:tcPr>
          <w:p w14:paraId="11884E3D" w14:textId="77777777" w:rsidR="0009503C" w:rsidRDefault="0009503C" w:rsidP="0009503C">
            <w:pPr>
              <w:jc w:val="both"/>
            </w:pPr>
            <w:r>
              <w:t xml:space="preserve">úchyt na </w:t>
            </w:r>
            <w:proofErr w:type="spellStart"/>
            <w:r>
              <w:t>eurolištu</w:t>
            </w:r>
            <w:proofErr w:type="spellEnd"/>
            <w:r>
              <w:t xml:space="preserve"> pro poutací pás 4x</w:t>
            </w:r>
          </w:p>
        </w:tc>
        <w:tc>
          <w:tcPr>
            <w:tcW w:w="1276" w:type="dxa"/>
            <w:vAlign w:val="center"/>
          </w:tcPr>
          <w:p w14:paraId="352E3C9F"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87E0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244F0C0F" w14:textId="77777777" w:rsidTr="00A36BA3">
        <w:tc>
          <w:tcPr>
            <w:tcW w:w="4536" w:type="dxa"/>
          </w:tcPr>
          <w:p w14:paraId="48B32056" w14:textId="77777777" w:rsidR="0009503C" w:rsidRDefault="0009503C" w:rsidP="0009503C">
            <w:pPr>
              <w:jc w:val="both"/>
            </w:pPr>
            <w:r>
              <w:t>Poutací pás pro opěrku ruky 6x</w:t>
            </w:r>
          </w:p>
        </w:tc>
        <w:tc>
          <w:tcPr>
            <w:tcW w:w="1276" w:type="dxa"/>
            <w:vAlign w:val="center"/>
          </w:tcPr>
          <w:p w14:paraId="1AEC679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4E2E3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43179533" w14:textId="77777777" w:rsidTr="00A36BA3">
        <w:tc>
          <w:tcPr>
            <w:tcW w:w="4536" w:type="dxa"/>
          </w:tcPr>
          <w:p w14:paraId="078E517A" w14:textId="77777777" w:rsidR="0009503C" w:rsidRDefault="0009503C" w:rsidP="0009503C">
            <w:pPr>
              <w:jc w:val="both"/>
            </w:pPr>
            <w:r>
              <w:t>Boční opěrka pevná 1x</w:t>
            </w:r>
          </w:p>
        </w:tc>
        <w:tc>
          <w:tcPr>
            <w:tcW w:w="1276" w:type="dxa"/>
            <w:vAlign w:val="center"/>
          </w:tcPr>
          <w:p w14:paraId="79D8675F"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028E3C"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507FA88C" w14:textId="77777777" w:rsidTr="00A36BA3">
        <w:tc>
          <w:tcPr>
            <w:tcW w:w="4536" w:type="dxa"/>
          </w:tcPr>
          <w:p w14:paraId="7AC393AD" w14:textId="77777777" w:rsidR="0009503C" w:rsidRDefault="0009503C" w:rsidP="0009503C">
            <w:pPr>
              <w:jc w:val="both"/>
            </w:pPr>
            <w:r>
              <w:t>Boční opěrka stavitelná</w:t>
            </w:r>
            <w:r>
              <w:tab/>
              <w:t>2x</w:t>
            </w:r>
          </w:p>
        </w:tc>
        <w:tc>
          <w:tcPr>
            <w:tcW w:w="1276" w:type="dxa"/>
            <w:vAlign w:val="center"/>
          </w:tcPr>
          <w:p w14:paraId="3C053EFF"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4E8CE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5A6967ED" w14:textId="77777777" w:rsidTr="00A36BA3">
        <w:tc>
          <w:tcPr>
            <w:tcW w:w="4536" w:type="dxa"/>
          </w:tcPr>
          <w:p w14:paraId="4C71D2A8" w14:textId="77777777" w:rsidR="0009503C" w:rsidRDefault="0009503C" w:rsidP="0009503C">
            <w:pPr>
              <w:jc w:val="both"/>
            </w:pPr>
            <w:r>
              <w:lastRenderedPageBreak/>
              <w:t>Opěrka ramen (pár) 1x</w:t>
            </w:r>
          </w:p>
        </w:tc>
        <w:tc>
          <w:tcPr>
            <w:tcW w:w="1276" w:type="dxa"/>
            <w:vAlign w:val="center"/>
          </w:tcPr>
          <w:p w14:paraId="45AB620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DC8F1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CAE0164" w14:textId="77777777" w:rsidTr="00A36BA3">
        <w:tc>
          <w:tcPr>
            <w:tcW w:w="4536" w:type="dxa"/>
          </w:tcPr>
          <w:p w14:paraId="18C4C664" w14:textId="77777777" w:rsidR="0009503C" w:rsidRDefault="0009503C" w:rsidP="0009503C">
            <w:pPr>
              <w:jc w:val="both"/>
            </w:pPr>
            <w:r>
              <w:t>Stojan na příslušenství</w:t>
            </w:r>
            <w:r>
              <w:tab/>
              <w:t>1x</w:t>
            </w:r>
          </w:p>
        </w:tc>
        <w:tc>
          <w:tcPr>
            <w:tcW w:w="1276" w:type="dxa"/>
            <w:vAlign w:val="center"/>
          </w:tcPr>
          <w:p w14:paraId="4FFBB54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665710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A482B98" w14:textId="77777777" w:rsidTr="00A36BA3">
        <w:tc>
          <w:tcPr>
            <w:tcW w:w="4536" w:type="dxa"/>
          </w:tcPr>
          <w:p w14:paraId="3A785017" w14:textId="77777777" w:rsidR="0009503C" w:rsidRDefault="0009503C" w:rsidP="0009503C">
            <w:pPr>
              <w:jc w:val="both"/>
            </w:pPr>
            <w:r>
              <w:t xml:space="preserve">Stolek pod </w:t>
            </w:r>
            <w:proofErr w:type="gramStart"/>
            <w:r>
              <w:t>ruku - pro</w:t>
            </w:r>
            <w:proofErr w:type="gramEnd"/>
            <w:r>
              <w:t xml:space="preserve"> zákroky na ruce 1x</w:t>
            </w:r>
          </w:p>
        </w:tc>
        <w:tc>
          <w:tcPr>
            <w:tcW w:w="1276" w:type="dxa"/>
            <w:vAlign w:val="center"/>
          </w:tcPr>
          <w:p w14:paraId="34A5587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3F024D"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3B5AF530" w14:textId="77777777" w:rsidTr="00A36BA3">
        <w:tc>
          <w:tcPr>
            <w:tcW w:w="4536" w:type="dxa"/>
          </w:tcPr>
          <w:p w14:paraId="3DBD6E70" w14:textId="77777777" w:rsidR="0009503C" w:rsidRDefault="0009503C" w:rsidP="0009503C">
            <w:pPr>
              <w:jc w:val="both"/>
            </w:pPr>
            <w:r>
              <w:t>Opěrný válec pod nohu</w:t>
            </w:r>
            <w:r>
              <w:tab/>
              <w:t>2x</w:t>
            </w:r>
          </w:p>
        </w:tc>
        <w:tc>
          <w:tcPr>
            <w:tcW w:w="1276" w:type="dxa"/>
            <w:vAlign w:val="center"/>
          </w:tcPr>
          <w:p w14:paraId="2742A13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2FB5B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34CBAF7F" w14:textId="77777777" w:rsidTr="00A36BA3">
        <w:tc>
          <w:tcPr>
            <w:tcW w:w="4536" w:type="dxa"/>
          </w:tcPr>
          <w:p w14:paraId="2B7D05C2" w14:textId="77777777" w:rsidR="0009503C" w:rsidRDefault="0009503C" w:rsidP="0009503C">
            <w:pPr>
              <w:jc w:val="both"/>
            </w:pPr>
            <w:r>
              <w:t>Gynekologická opěrka nohy (kus) 2x</w:t>
            </w:r>
          </w:p>
        </w:tc>
        <w:tc>
          <w:tcPr>
            <w:tcW w:w="1276" w:type="dxa"/>
            <w:vAlign w:val="center"/>
          </w:tcPr>
          <w:p w14:paraId="7652BCB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1E9F2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F6A02A9" w14:textId="77777777" w:rsidTr="00A36BA3">
        <w:tc>
          <w:tcPr>
            <w:tcW w:w="4536" w:type="dxa"/>
          </w:tcPr>
          <w:p w14:paraId="0518744E" w14:textId="77777777" w:rsidR="0009503C" w:rsidRDefault="0009503C" w:rsidP="0009503C">
            <w:pPr>
              <w:jc w:val="both"/>
            </w:pPr>
            <w:r>
              <w:t xml:space="preserve">Poutací pás pro </w:t>
            </w:r>
            <w:proofErr w:type="spellStart"/>
            <w:r>
              <w:t>gyn</w:t>
            </w:r>
            <w:proofErr w:type="spellEnd"/>
            <w:r>
              <w:t>.  opěrku nohy 2x</w:t>
            </w:r>
          </w:p>
        </w:tc>
        <w:tc>
          <w:tcPr>
            <w:tcW w:w="1276" w:type="dxa"/>
            <w:vAlign w:val="center"/>
          </w:tcPr>
          <w:p w14:paraId="16328DA9"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713E26"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3480B78D" w14:textId="77777777" w:rsidTr="00A36BA3">
        <w:tc>
          <w:tcPr>
            <w:tcW w:w="4536" w:type="dxa"/>
          </w:tcPr>
          <w:p w14:paraId="70F4D27A" w14:textId="77777777" w:rsidR="0009503C" w:rsidRDefault="0009503C" w:rsidP="0009503C">
            <w:pPr>
              <w:jc w:val="both"/>
            </w:pPr>
            <w:r>
              <w:t>Polohovatelné opěrky nohou "americké botičky 1x</w:t>
            </w:r>
          </w:p>
        </w:tc>
        <w:tc>
          <w:tcPr>
            <w:tcW w:w="1276" w:type="dxa"/>
            <w:vAlign w:val="center"/>
          </w:tcPr>
          <w:p w14:paraId="7B3B7E4A"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68D35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273A7E8" w14:textId="77777777" w:rsidTr="00A36BA3">
        <w:tc>
          <w:tcPr>
            <w:tcW w:w="4536" w:type="dxa"/>
          </w:tcPr>
          <w:p w14:paraId="490E7B3B" w14:textId="77777777" w:rsidR="0009503C" w:rsidRDefault="0009503C" w:rsidP="0009503C">
            <w:pPr>
              <w:jc w:val="both"/>
            </w:pPr>
            <w:r>
              <w:t>Kroužek pod hlavu 1x</w:t>
            </w:r>
          </w:p>
        </w:tc>
        <w:tc>
          <w:tcPr>
            <w:tcW w:w="1276" w:type="dxa"/>
            <w:vAlign w:val="center"/>
          </w:tcPr>
          <w:p w14:paraId="4B9A6C8F"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4399E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77777777" w:rsidR="00D370BE" w:rsidRPr="00DC2021" w:rsidRDefault="00D370BE" w:rsidP="002A27EE">
      <w:pPr>
        <w:rPr>
          <w:rFonts w:asciiTheme="minorHAnsi" w:hAnsiTheme="minorHAnsi"/>
          <w:lang w:eastAsia="en-US"/>
        </w:rPr>
      </w:pPr>
    </w:p>
    <w:p w14:paraId="1F637FA3" w14:textId="77777777" w:rsidR="00D7314B" w:rsidRPr="00DC2021" w:rsidRDefault="00D7314B" w:rsidP="00D7314B">
      <w:pPr>
        <w:pStyle w:val="Nadpis2"/>
        <w:spacing w:before="240"/>
        <w:rPr>
          <w:rFonts w:asciiTheme="minorHAnsi" w:hAnsiTheme="minorHAnsi"/>
          <w:sz w:val="22"/>
          <w:szCs w:val="22"/>
        </w:rPr>
      </w:pPr>
      <w:r w:rsidRPr="00DC2021">
        <w:rPr>
          <w:rFonts w:asciiTheme="minorHAnsi" w:hAnsiTheme="minorHAnsi"/>
          <w:sz w:val="22"/>
          <w:szCs w:val="22"/>
          <w:highlight w:val="yellow"/>
        </w:rPr>
        <w:t xml:space="preserve">Na všechny číselné parametry je tolerance +/- </w:t>
      </w:r>
      <w:proofErr w:type="gramStart"/>
      <w:r w:rsidRPr="00DC2021">
        <w:rPr>
          <w:rFonts w:asciiTheme="minorHAnsi" w:hAnsiTheme="minorHAnsi"/>
          <w:sz w:val="22"/>
          <w:szCs w:val="22"/>
          <w:highlight w:val="yellow"/>
        </w:rPr>
        <w:t>10%</w:t>
      </w:r>
      <w:proofErr w:type="gramEnd"/>
      <w:r w:rsidRPr="00DC2021">
        <w:rPr>
          <w:rFonts w:asciiTheme="minorHAnsi" w:hAnsiTheme="minorHAnsi"/>
          <w:sz w:val="22"/>
          <w:szCs w:val="22"/>
          <w:highlight w:val="yellow"/>
        </w:rPr>
        <w:t>, mimo číselné parametry uvedené jako min. nebo max.</w:t>
      </w:r>
    </w:p>
    <w:p w14:paraId="47244D35" w14:textId="0B6EEE68" w:rsidR="00D7314B" w:rsidRDefault="00D7314B" w:rsidP="002A27EE">
      <w:pPr>
        <w:rPr>
          <w:rFonts w:asciiTheme="minorHAnsi" w:hAnsiTheme="minorHAnsi"/>
          <w:lang w:eastAsia="en-US"/>
        </w:rPr>
      </w:pPr>
    </w:p>
    <w:p w14:paraId="39BCBF1C" w14:textId="18FC58E9" w:rsidR="00CB09AF" w:rsidRDefault="00CB09AF" w:rsidP="002A27EE">
      <w:pPr>
        <w:rPr>
          <w:rFonts w:asciiTheme="minorHAnsi" w:hAnsiTheme="minorHAnsi"/>
          <w:lang w:eastAsia="en-US"/>
        </w:rPr>
      </w:pPr>
    </w:p>
    <w:p w14:paraId="19241843" w14:textId="77777777" w:rsidR="00E47318" w:rsidRDefault="00E47318" w:rsidP="00E47318">
      <w:pPr>
        <w:pStyle w:val="Nadpis5"/>
        <w:rPr>
          <w:bCs/>
          <w:lang w:eastAsia="en-US"/>
        </w:rPr>
      </w:pPr>
      <w:r>
        <w:rPr>
          <w:bCs/>
          <w:lang w:eastAsia="en-US"/>
        </w:rPr>
        <w:t xml:space="preserve">B) Požadavky, které budou součástí dodávky předmětu plnění </w:t>
      </w:r>
    </w:p>
    <w:p w14:paraId="18C370F3" w14:textId="77777777" w:rsidR="00E47318" w:rsidRDefault="00E47318" w:rsidP="00E47318">
      <w:pPr>
        <w:rPr>
          <w:lang w:eastAsia="en-US"/>
        </w:rPr>
      </w:pPr>
    </w:p>
    <w:p w14:paraId="23EB9DEA" w14:textId="0817E659" w:rsidR="00CB09AF" w:rsidRDefault="00E47318" w:rsidP="00E47318">
      <w:pPr>
        <w:rPr>
          <w:lang w:eastAsia="en-US"/>
        </w:rPr>
      </w:pPr>
      <w:r>
        <w:rPr>
          <w:lang w:eastAsia="en-US"/>
        </w:rPr>
        <w:t>DODAVATEL MÁ POVINNOST VYPLNIT SPLNĚNÍ POŽADAVKU V TABULCE ANO/NE. SPNĚNÍ UVEDENÝCH POŽADAVKŮ POŽADUJE ZADAVATEL V RÁMCI DODÁVKY PŘEDMĚTU PLNĚNÍ.</w:t>
      </w:r>
    </w:p>
    <w:p w14:paraId="17EC8694" w14:textId="77777777" w:rsidR="00E47318" w:rsidRDefault="00E47318" w:rsidP="00E47318">
      <w:pPr>
        <w:rPr>
          <w:rFonts w:asciiTheme="minorHAnsi" w:hAnsiTheme="minorHAnsi"/>
          <w:lang w:eastAsia="en-US"/>
        </w:rPr>
      </w:pPr>
    </w:p>
    <w:p w14:paraId="605E52D7" w14:textId="77777777" w:rsidR="00CB09AF" w:rsidRPr="00DC2021" w:rsidRDefault="00CB09AF"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77213D4F" w:rsidR="0065447C" w:rsidRPr="00DC2021" w:rsidRDefault="00E47318"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E47318">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0A36" w14:textId="77777777" w:rsidR="000C4921" w:rsidRDefault="000C4921">
      <w:r>
        <w:separator/>
      </w:r>
    </w:p>
  </w:endnote>
  <w:endnote w:type="continuationSeparator" w:id="0">
    <w:p w14:paraId="0CC7A522" w14:textId="77777777" w:rsidR="000C4921" w:rsidRDefault="000C4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5B1F0D9C"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 xml:space="preserve">pro </w:t>
        </w:r>
        <w:r w:rsidR="006473E4">
          <w:rPr>
            <w:rFonts w:ascii="Calibri" w:hAnsi="Calibri" w:cs="Calibri"/>
            <w:szCs w:val="20"/>
          </w:rPr>
          <w:t>operačních sálů</w:t>
        </w:r>
        <w:r w:rsidRPr="00CA2983">
          <w:rPr>
            <w:rFonts w:ascii="Calibri" w:hAnsi="Calibri" w:cs="Calibri"/>
            <w:szCs w:val="20"/>
          </w:rPr>
          <w:t xml:space="preserve">“, </w:t>
        </w:r>
      </w:p>
      <w:p w14:paraId="479DD3BB" w14:textId="74335E3E" w:rsidR="000C4921" w:rsidRPr="00CA2983" w:rsidRDefault="000C4921"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6473E4">
          <w:rPr>
            <w:rFonts w:ascii="Calibri" w:hAnsi="Calibri" w:cs="Calibri"/>
            <w:szCs w:val="20"/>
          </w:rPr>
          <w:t>49</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3CD4" w14:textId="77777777" w:rsidR="000C4921" w:rsidRDefault="000C4921">
      <w:r>
        <w:separator/>
      </w:r>
    </w:p>
  </w:footnote>
  <w:footnote w:type="continuationSeparator" w:id="0">
    <w:p w14:paraId="646D8DD6" w14:textId="77777777" w:rsidR="000C4921" w:rsidRDefault="000C4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1"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2"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8"/>
  </w:num>
  <w:num w:numId="3">
    <w:abstractNumId w:val="33"/>
  </w:num>
  <w:num w:numId="4">
    <w:abstractNumId w:val="12"/>
  </w:num>
  <w:num w:numId="5">
    <w:abstractNumId w:val="6"/>
  </w:num>
  <w:num w:numId="6">
    <w:abstractNumId w:val="14"/>
  </w:num>
  <w:num w:numId="7">
    <w:abstractNumId w:val="14"/>
  </w:num>
  <w:num w:numId="8">
    <w:abstractNumId w:val="32"/>
  </w:num>
  <w:num w:numId="9">
    <w:abstractNumId w:val="2"/>
  </w:num>
  <w:num w:numId="10">
    <w:abstractNumId w:val="25"/>
  </w:num>
  <w:num w:numId="11">
    <w:abstractNumId w:val="23"/>
  </w:num>
  <w:num w:numId="12">
    <w:abstractNumId w:val="30"/>
  </w:num>
  <w:num w:numId="13">
    <w:abstractNumId w:val="7"/>
  </w:num>
  <w:num w:numId="14">
    <w:abstractNumId w:val="27"/>
  </w:num>
  <w:num w:numId="15">
    <w:abstractNumId w:val="29"/>
  </w:num>
  <w:num w:numId="16">
    <w:abstractNumId w:val="15"/>
  </w:num>
  <w:num w:numId="17">
    <w:abstractNumId w:val="20"/>
  </w:num>
  <w:num w:numId="18">
    <w:abstractNumId w:val="9"/>
  </w:num>
  <w:num w:numId="19">
    <w:abstractNumId w:val="24"/>
  </w:num>
  <w:num w:numId="20">
    <w:abstractNumId w:val="31"/>
  </w:num>
  <w:num w:numId="21">
    <w:abstractNumId w:val="22"/>
  </w:num>
  <w:num w:numId="22">
    <w:abstractNumId w:val="4"/>
  </w:num>
  <w:num w:numId="23">
    <w:abstractNumId w:val="8"/>
  </w:num>
  <w:num w:numId="24">
    <w:abstractNumId w:val="21"/>
  </w:num>
  <w:num w:numId="25">
    <w:abstractNumId w:val="26"/>
  </w:num>
  <w:num w:numId="26">
    <w:abstractNumId w:val="17"/>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19"/>
  </w:num>
  <w:num w:numId="34">
    <w:abstractNumId w:val="18"/>
  </w:num>
  <w:num w:numId="3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52D89"/>
    <w:rsid w:val="000645CC"/>
    <w:rsid w:val="0006781A"/>
    <w:rsid w:val="00074528"/>
    <w:rsid w:val="0008758E"/>
    <w:rsid w:val="00094F6C"/>
    <w:rsid w:val="0009503C"/>
    <w:rsid w:val="000970C0"/>
    <w:rsid w:val="000A1ECC"/>
    <w:rsid w:val="000A20C8"/>
    <w:rsid w:val="000A3B26"/>
    <w:rsid w:val="000B179B"/>
    <w:rsid w:val="000B3193"/>
    <w:rsid w:val="000C1F62"/>
    <w:rsid w:val="000C1FBC"/>
    <w:rsid w:val="000C28E6"/>
    <w:rsid w:val="000C4921"/>
    <w:rsid w:val="000C6A3F"/>
    <w:rsid w:val="000C71E4"/>
    <w:rsid w:val="000D436E"/>
    <w:rsid w:val="000E1014"/>
    <w:rsid w:val="000E686D"/>
    <w:rsid w:val="000F24DE"/>
    <w:rsid w:val="000F486F"/>
    <w:rsid w:val="001036F7"/>
    <w:rsid w:val="00111FF7"/>
    <w:rsid w:val="001258AB"/>
    <w:rsid w:val="00125E54"/>
    <w:rsid w:val="00127285"/>
    <w:rsid w:val="00136081"/>
    <w:rsid w:val="001770B9"/>
    <w:rsid w:val="00185540"/>
    <w:rsid w:val="00191ADF"/>
    <w:rsid w:val="0019452C"/>
    <w:rsid w:val="00197A5B"/>
    <w:rsid w:val="001A75A1"/>
    <w:rsid w:val="001D1372"/>
    <w:rsid w:val="001D3BFB"/>
    <w:rsid w:val="001E427D"/>
    <w:rsid w:val="001F2952"/>
    <w:rsid w:val="00205BFD"/>
    <w:rsid w:val="00205EE2"/>
    <w:rsid w:val="00214C1D"/>
    <w:rsid w:val="00226F44"/>
    <w:rsid w:val="002476E6"/>
    <w:rsid w:val="002666F5"/>
    <w:rsid w:val="00280A80"/>
    <w:rsid w:val="002A27EE"/>
    <w:rsid w:val="002B39F1"/>
    <w:rsid w:val="002C543B"/>
    <w:rsid w:val="002C5A20"/>
    <w:rsid w:val="002D0847"/>
    <w:rsid w:val="002D4509"/>
    <w:rsid w:val="002E5F2E"/>
    <w:rsid w:val="002E6F56"/>
    <w:rsid w:val="00303205"/>
    <w:rsid w:val="0031657C"/>
    <w:rsid w:val="003448C0"/>
    <w:rsid w:val="00345B5A"/>
    <w:rsid w:val="00361D5A"/>
    <w:rsid w:val="00381B11"/>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A3D79"/>
    <w:rsid w:val="004C57F4"/>
    <w:rsid w:val="004C65DC"/>
    <w:rsid w:val="004C7980"/>
    <w:rsid w:val="004D2DB6"/>
    <w:rsid w:val="004F5479"/>
    <w:rsid w:val="004F69D1"/>
    <w:rsid w:val="00504A9F"/>
    <w:rsid w:val="00520074"/>
    <w:rsid w:val="00521903"/>
    <w:rsid w:val="00531FC6"/>
    <w:rsid w:val="00532663"/>
    <w:rsid w:val="005329B0"/>
    <w:rsid w:val="00542225"/>
    <w:rsid w:val="0054515C"/>
    <w:rsid w:val="0054628A"/>
    <w:rsid w:val="0056576E"/>
    <w:rsid w:val="00567235"/>
    <w:rsid w:val="00572533"/>
    <w:rsid w:val="005870F2"/>
    <w:rsid w:val="005B06FC"/>
    <w:rsid w:val="005B2A93"/>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603D"/>
    <w:rsid w:val="0063056C"/>
    <w:rsid w:val="00633091"/>
    <w:rsid w:val="006370F4"/>
    <w:rsid w:val="00637A1A"/>
    <w:rsid w:val="00637E1C"/>
    <w:rsid w:val="006451DA"/>
    <w:rsid w:val="006466FD"/>
    <w:rsid w:val="006473E4"/>
    <w:rsid w:val="006518A6"/>
    <w:rsid w:val="00652279"/>
    <w:rsid w:val="00654188"/>
    <w:rsid w:val="0065447C"/>
    <w:rsid w:val="00662654"/>
    <w:rsid w:val="006639EB"/>
    <w:rsid w:val="0067650B"/>
    <w:rsid w:val="006C09D7"/>
    <w:rsid w:val="006E5A2E"/>
    <w:rsid w:val="006F12A7"/>
    <w:rsid w:val="006F6461"/>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F59FE"/>
    <w:rsid w:val="007F694D"/>
    <w:rsid w:val="007F795F"/>
    <w:rsid w:val="00804134"/>
    <w:rsid w:val="00806E1F"/>
    <w:rsid w:val="00814870"/>
    <w:rsid w:val="0081601A"/>
    <w:rsid w:val="008379B1"/>
    <w:rsid w:val="00842F61"/>
    <w:rsid w:val="00843B0E"/>
    <w:rsid w:val="00855DB3"/>
    <w:rsid w:val="00861184"/>
    <w:rsid w:val="008614C0"/>
    <w:rsid w:val="00867642"/>
    <w:rsid w:val="008710C5"/>
    <w:rsid w:val="00885758"/>
    <w:rsid w:val="00885D17"/>
    <w:rsid w:val="00890047"/>
    <w:rsid w:val="008B1CD4"/>
    <w:rsid w:val="008D7A6F"/>
    <w:rsid w:val="008E1D92"/>
    <w:rsid w:val="00905E90"/>
    <w:rsid w:val="00907E39"/>
    <w:rsid w:val="00941E60"/>
    <w:rsid w:val="00942F42"/>
    <w:rsid w:val="00965992"/>
    <w:rsid w:val="009673F6"/>
    <w:rsid w:val="009751AA"/>
    <w:rsid w:val="00985725"/>
    <w:rsid w:val="0098671F"/>
    <w:rsid w:val="0099223B"/>
    <w:rsid w:val="00994611"/>
    <w:rsid w:val="009A239C"/>
    <w:rsid w:val="009A2616"/>
    <w:rsid w:val="009B4D26"/>
    <w:rsid w:val="009B4E45"/>
    <w:rsid w:val="009C0B4C"/>
    <w:rsid w:val="009D3720"/>
    <w:rsid w:val="009E189C"/>
    <w:rsid w:val="00A075F1"/>
    <w:rsid w:val="00A14866"/>
    <w:rsid w:val="00A37710"/>
    <w:rsid w:val="00A45ABD"/>
    <w:rsid w:val="00A537FA"/>
    <w:rsid w:val="00A70EB3"/>
    <w:rsid w:val="00A72488"/>
    <w:rsid w:val="00A7653E"/>
    <w:rsid w:val="00A811DD"/>
    <w:rsid w:val="00A8362D"/>
    <w:rsid w:val="00A837CA"/>
    <w:rsid w:val="00A87292"/>
    <w:rsid w:val="00A9026B"/>
    <w:rsid w:val="00A91526"/>
    <w:rsid w:val="00AB14BC"/>
    <w:rsid w:val="00AC3F9C"/>
    <w:rsid w:val="00AD7DB4"/>
    <w:rsid w:val="00AE0A9A"/>
    <w:rsid w:val="00B01362"/>
    <w:rsid w:val="00B04151"/>
    <w:rsid w:val="00B07A78"/>
    <w:rsid w:val="00B10101"/>
    <w:rsid w:val="00B3451E"/>
    <w:rsid w:val="00B360D1"/>
    <w:rsid w:val="00B429BE"/>
    <w:rsid w:val="00B471A0"/>
    <w:rsid w:val="00B53DAE"/>
    <w:rsid w:val="00B56957"/>
    <w:rsid w:val="00BB0C56"/>
    <w:rsid w:val="00BB2159"/>
    <w:rsid w:val="00BB40AC"/>
    <w:rsid w:val="00BD6D27"/>
    <w:rsid w:val="00BF57F9"/>
    <w:rsid w:val="00C04ADE"/>
    <w:rsid w:val="00C10A7D"/>
    <w:rsid w:val="00C16503"/>
    <w:rsid w:val="00C37F21"/>
    <w:rsid w:val="00C4498B"/>
    <w:rsid w:val="00C57F86"/>
    <w:rsid w:val="00C64F47"/>
    <w:rsid w:val="00C81860"/>
    <w:rsid w:val="00C95843"/>
    <w:rsid w:val="00C95D5F"/>
    <w:rsid w:val="00CA0D86"/>
    <w:rsid w:val="00CA2983"/>
    <w:rsid w:val="00CA49BB"/>
    <w:rsid w:val="00CA51FC"/>
    <w:rsid w:val="00CA538B"/>
    <w:rsid w:val="00CB09AF"/>
    <w:rsid w:val="00CC3064"/>
    <w:rsid w:val="00CD382E"/>
    <w:rsid w:val="00CD3A9C"/>
    <w:rsid w:val="00CD65B0"/>
    <w:rsid w:val="00CE02B0"/>
    <w:rsid w:val="00CE32A8"/>
    <w:rsid w:val="00CF60CC"/>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63DD"/>
    <w:rsid w:val="00DA57E0"/>
    <w:rsid w:val="00DC2021"/>
    <w:rsid w:val="00DC5760"/>
    <w:rsid w:val="00DE3E17"/>
    <w:rsid w:val="00E14675"/>
    <w:rsid w:val="00E25961"/>
    <w:rsid w:val="00E25E2C"/>
    <w:rsid w:val="00E3244D"/>
    <w:rsid w:val="00E327B4"/>
    <w:rsid w:val="00E47318"/>
    <w:rsid w:val="00E600E7"/>
    <w:rsid w:val="00E640CE"/>
    <w:rsid w:val="00E65FC7"/>
    <w:rsid w:val="00E70BD0"/>
    <w:rsid w:val="00E73FAD"/>
    <w:rsid w:val="00E753DD"/>
    <w:rsid w:val="00E864C9"/>
    <w:rsid w:val="00EA5D2F"/>
    <w:rsid w:val="00EB28FB"/>
    <w:rsid w:val="00EB3567"/>
    <w:rsid w:val="00EB6305"/>
    <w:rsid w:val="00ED1886"/>
    <w:rsid w:val="00EE1E0E"/>
    <w:rsid w:val="00F011A6"/>
    <w:rsid w:val="00F03861"/>
    <w:rsid w:val="00F05A17"/>
    <w:rsid w:val="00F069C9"/>
    <w:rsid w:val="00F14182"/>
    <w:rsid w:val="00F15BA6"/>
    <w:rsid w:val="00F16700"/>
    <w:rsid w:val="00F22CB7"/>
    <w:rsid w:val="00F42F2C"/>
    <w:rsid w:val="00F45432"/>
    <w:rsid w:val="00F458FA"/>
    <w:rsid w:val="00F63C45"/>
    <w:rsid w:val="00F66DDD"/>
    <w:rsid w:val="00F70C37"/>
    <w:rsid w:val="00F935F7"/>
    <w:rsid w:val="00FA0309"/>
    <w:rsid w:val="00FB0179"/>
    <w:rsid w:val="00FB4C27"/>
    <w:rsid w:val="00FB55EE"/>
    <w:rsid w:val="00FE368B"/>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4618510">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10318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189F3-98B7-481E-8D5F-9E7007EB6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1115</Words>
  <Characters>6579</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2020-07-13T10:11:00Z</dcterms:created>
  <dcterms:modified xsi:type="dcterms:W3CDTF">2020-07-13T10:25:00Z</dcterms:modified>
</cp:coreProperties>
</file>